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400D3">
      <w:pPr>
        <w:jc w:val="center"/>
        <w:rPr>
          <w:rFonts w:ascii="黑体" w:hAnsi="黑体" w:eastAsia="黑体" w:cs="黑体"/>
          <w:b/>
          <w:bCs/>
          <w:sz w:val="44"/>
          <w:szCs w:val="44"/>
        </w:rPr>
      </w:pPr>
      <w:r>
        <w:rPr>
          <w:rFonts w:hint="eastAsia" w:ascii="黑体" w:hAnsi="黑体" w:eastAsia="黑体" w:cs="黑体"/>
          <w:b/>
          <w:bCs/>
          <w:sz w:val="44"/>
          <w:szCs w:val="44"/>
        </w:rPr>
        <w:t>临朐县沂泰建材有限公司（2024年度第二批次）</w:t>
      </w:r>
    </w:p>
    <w:p w14:paraId="714B9A32">
      <w:pPr>
        <w:jc w:val="center"/>
        <w:rPr>
          <w:rFonts w:ascii="黑体" w:hAnsi="黑体" w:eastAsia="黑体" w:cs="黑体"/>
          <w:b/>
          <w:bCs/>
          <w:sz w:val="44"/>
          <w:szCs w:val="44"/>
        </w:rPr>
      </w:pPr>
      <w:r>
        <w:rPr>
          <w:rFonts w:hint="eastAsia" w:ascii="黑体" w:hAnsi="黑体" w:eastAsia="黑体" w:cs="黑体"/>
          <w:b/>
          <w:bCs/>
          <w:sz w:val="44"/>
          <w:szCs w:val="44"/>
        </w:rPr>
        <w:t>混合砂购销合同</w:t>
      </w:r>
    </w:p>
    <w:p w14:paraId="2CB6E05A">
      <w:pPr>
        <w:rPr>
          <w:rFonts w:ascii="仿宋" w:hAnsi="仿宋" w:eastAsia="仿宋" w:cs="仿宋"/>
          <w:sz w:val="28"/>
          <w:szCs w:val="28"/>
        </w:rPr>
      </w:pPr>
    </w:p>
    <w:p w14:paraId="5DFB75CD">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采购方（甲方）:</w:t>
      </w:r>
      <w:r>
        <w:rPr>
          <w:rFonts w:hint="eastAsia" w:ascii="仿宋" w:hAnsi="仿宋" w:eastAsia="仿宋" w:cs="仿宋"/>
          <w:sz w:val="28"/>
          <w:szCs w:val="28"/>
          <w:u w:val="single"/>
        </w:rPr>
        <w:t xml:space="preserve">  临朐县沂泰建材有限公司 </w:t>
      </w:r>
      <w:bookmarkStart w:id="0" w:name="_GoBack"/>
      <w:bookmarkEnd w:id="0"/>
    </w:p>
    <w:p w14:paraId="584A673A">
      <w:pPr>
        <w:tabs>
          <w:tab w:val="left" w:pos="1492"/>
          <w:tab w:val="left" w:pos="4492"/>
          <w:tab w:val="left" w:pos="5452"/>
        </w:tabs>
        <w:spacing w:line="500" w:lineRule="exact"/>
        <w:jc w:val="left"/>
        <w:rPr>
          <w:rFonts w:hint="default" w:ascii="仿宋" w:hAnsi="仿宋" w:eastAsia="仿宋" w:cs="仿宋"/>
          <w:sz w:val="28"/>
          <w:szCs w:val="28"/>
          <w:u w:val="none"/>
          <w:lang w:val="en-US" w:eastAsia="zh-CN"/>
        </w:rPr>
      </w:pPr>
      <w:r>
        <w:rPr>
          <w:rFonts w:hint="eastAsia" w:ascii="仿宋" w:hAnsi="仿宋" w:eastAsia="仿宋" w:cs="仿宋"/>
          <w:sz w:val="28"/>
          <w:szCs w:val="28"/>
        </w:rPr>
        <w:t>供货方（乙方）:</w:t>
      </w:r>
      <w:r>
        <w:rPr>
          <w:rFonts w:hint="eastAsia" w:ascii="仿宋" w:hAnsi="仿宋" w:eastAsia="仿宋" w:cs="仿宋"/>
          <w:sz w:val="28"/>
          <w:szCs w:val="28"/>
          <w:u w:val="single"/>
          <w:lang w:val="en-US" w:eastAsia="zh-CN"/>
        </w:rPr>
        <w:t xml:space="preserve">                         </w:t>
      </w:r>
    </w:p>
    <w:p w14:paraId="7E708126">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保证甲方商混站持续正常生产，甲方通过询价采购方式，确定乙方为本批次砂子供货方。根据《中华人民共和国民法典》及有关法律规定，遵守平等、自愿、公平和诚实信用的原则，经双方协商一致，订立本合同。</w:t>
      </w:r>
    </w:p>
    <w:p w14:paraId="0F5576A4">
      <w:pPr>
        <w:ind w:firstLine="562" w:firstLineChars="200"/>
        <w:rPr>
          <w:rFonts w:ascii="仿宋" w:hAnsi="仿宋" w:eastAsia="仿宋" w:cs="仿宋"/>
          <w:b/>
          <w:bCs/>
          <w:sz w:val="28"/>
          <w:szCs w:val="28"/>
        </w:rPr>
      </w:pPr>
      <w:r>
        <w:rPr>
          <w:rFonts w:hint="eastAsia" w:ascii="仿宋" w:hAnsi="仿宋" w:eastAsia="仿宋" w:cs="仿宋"/>
          <w:b/>
          <w:bCs/>
          <w:sz w:val="28"/>
          <w:szCs w:val="28"/>
        </w:rPr>
        <w:t>第一条 材料名称、产地、规格型号、数量、单价、金额</w:t>
      </w:r>
    </w:p>
    <w:tbl>
      <w:tblPr>
        <w:tblStyle w:val="6"/>
        <w:tblW w:w="92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60"/>
        <w:gridCol w:w="1296"/>
        <w:gridCol w:w="999"/>
        <w:gridCol w:w="945"/>
        <w:gridCol w:w="1470"/>
        <w:gridCol w:w="1425"/>
        <w:gridCol w:w="1095"/>
      </w:tblGrid>
      <w:tr w14:paraId="2A3D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14:paraId="56571D77">
            <w:pPr>
              <w:spacing w:line="400" w:lineRule="exact"/>
              <w:jc w:val="center"/>
              <w:rPr>
                <w:rFonts w:ascii="仿宋" w:hAnsi="仿宋" w:eastAsia="仿宋" w:cs="仿宋"/>
                <w:sz w:val="28"/>
                <w:szCs w:val="28"/>
              </w:rPr>
            </w:pPr>
            <w:r>
              <w:rPr>
                <w:rFonts w:hint="eastAsia" w:ascii="仿宋" w:hAnsi="仿宋" w:eastAsia="仿宋" w:cs="仿宋"/>
                <w:sz w:val="28"/>
                <w:szCs w:val="28"/>
              </w:rPr>
              <w:t>材料</w:t>
            </w:r>
          </w:p>
          <w:p w14:paraId="135D99D3">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960" w:type="dxa"/>
            <w:vAlign w:val="center"/>
          </w:tcPr>
          <w:p w14:paraId="4A9CC5FC">
            <w:pPr>
              <w:spacing w:line="40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1296" w:type="dxa"/>
            <w:vAlign w:val="center"/>
          </w:tcPr>
          <w:p w14:paraId="7D42CF53">
            <w:pPr>
              <w:spacing w:line="400" w:lineRule="exact"/>
              <w:jc w:val="center"/>
              <w:rPr>
                <w:rFonts w:ascii="仿宋" w:hAnsi="仿宋" w:eastAsia="仿宋" w:cs="仿宋"/>
                <w:sz w:val="28"/>
                <w:szCs w:val="28"/>
              </w:rPr>
            </w:pPr>
            <w:r>
              <w:rPr>
                <w:rFonts w:hint="eastAsia" w:ascii="仿宋" w:hAnsi="仿宋" w:eastAsia="仿宋" w:cs="仿宋"/>
                <w:sz w:val="28"/>
                <w:szCs w:val="28"/>
              </w:rPr>
              <w:t>规格</w:t>
            </w:r>
          </w:p>
          <w:p w14:paraId="53C65E8A">
            <w:pPr>
              <w:spacing w:line="400" w:lineRule="exact"/>
              <w:jc w:val="center"/>
              <w:rPr>
                <w:rFonts w:ascii="仿宋" w:hAnsi="仿宋" w:eastAsia="仿宋" w:cs="仿宋"/>
                <w:sz w:val="28"/>
                <w:szCs w:val="28"/>
              </w:rPr>
            </w:pPr>
            <w:r>
              <w:rPr>
                <w:rFonts w:hint="eastAsia" w:ascii="仿宋" w:hAnsi="仿宋" w:eastAsia="仿宋" w:cs="仿宋"/>
                <w:sz w:val="28"/>
                <w:szCs w:val="28"/>
              </w:rPr>
              <w:t>型号</w:t>
            </w:r>
          </w:p>
        </w:tc>
        <w:tc>
          <w:tcPr>
            <w:tcW w:w="999" w:type="dxa"/>
            <w:vAlign w:val="center"/>
          </w:tcPr>
          <w:p w14:paraId="5EDC72C9">
            <w:pPr>
              <w:spacing w:line="4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945" w:type="dxa"/>
            <w:vAlign w:val="center"/>
          </w:tcPr>
          <w:p w14:paraId="71DA2B7F">
            <w:pPr>
              <w:spacing w:line="40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470" w:type="dxa"/>
            <w:vAlign w:val="center"/>
          </w:tcPr>
          <w:p w14:paraId="499D5109">
            <w:pPr>
              <w:spacing w:line="400" w:lineRule="exact"/>
              <w:jc w:val="center"/>
              <w:rPr>
                <w:rFonts w:ascii="仿宋" w:hAnsi="仿宋" w:eastAsia="仿宋" w:cs="仿宋"/>
                <w:sz w:val="28"/>
                <w:szCs w:val="28"/>
              </w:rPr>
            </w:pPr>
            <w:r>
              <w:rPr>
                <w:rFonts w:hint="eastAsia" w:ascii="仿宋" w:hAnsi="仿宋" w:eastAsia="仿宋" w:cs="仿宋"/>
                <w:sz w:val="28"/>
                <w:szCs w:val="28"/>
              </w:rPr>
              <w:t>含税单价（元/吨）</w:t>
            </w:r>
          </w:p>
        </w:tc>
        <w:tc>
          <w:tcPr>
            <w:tcW w:w="1425" w:type="dxa"/>
            <w:vAlign w:val="center"/>
          </w:tcPr>
          <w:p w14:paraId="041687F6">
            <w:pPr>
              <w:spacing w:line="400" w:lineRule="exact"/>
              <w:jc w:val="center"/>
              <w:rPr>
                <w:rFonts w:ascii="仿宋" w:hAnsi="仿宋" w:eastAsia="仿宋" w:cs="仿宋"/>
                <w:sz w:val="28"/>
                <w:szCs w:val="28"/>
              </w:rPr>
            </w:pPr>
            <w:r>
              <w:rPr>
                <w:rFonts w:hint="eastAsia" w:ascii="仿宋" w:hAnsi="仿宋" w:eastAsia="仿宋" w:cs="仿宋"/>
                <w:sz w:val="28"/>
                <w:szCs w:val="28"/>
              </w:rPr>
              <w:t>合计金额（万元）</w:t>
            </w:r>
          </w:p>
        </w:tc>
        <w:tc>
          <w:tcPr>
            <w:tcW w:w="1095" w:type="dxa"/>
            <w:vAlign w:val="center"/>
          </w:tcPr>
          <w:p w14:paraId="26F5F6B4">
            <w:pPr>
              <w:spacing w:line="40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5EF4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1095" w:type="dxa"/>
            <w:vAlign w:val="center"/>
          </w:tcPr>
          <w:p w14:paraId="385CBE12">
            <w:pPr>
              <w:spacing w:line="400" w:lineRule="exact"/>
              <w:jc w:val="center"/>
              <w:rPr>
                <w:rFonts w:ascii="仿宋" w:hAnsi="仿宋" w:eastAsia="仿宋" w:cs="仿宋"/>
                <w:sz w:val="28"/>
                <w:szCs w:val="28"/>
              </w:rPr>
            </w:pPr>
            <w:r>
              <w:rPr>
                <w:rFonts w:hint="eastAsia" w:ascii="仿宋" w:hAnsi="仿宋" w:eastAsia="仿宋" w:cs="仿宋"/>
                <w:sz w:val="28"/>
                <w:szCs w:val="28"/>
              </w:rPr>
              <w:t>混合砂</w:t>
            </w:r>
          </w:p>
        </w:tc>
        <w:tc>
          <w:tcPr>
            <w:tcW w:w="960" w:type="dxa"/>
            <w:vAlign w:val="center"/>
          </w:tcPr>
          <w:p w14:paraId="13CFB6F4">
            <w:pPr>
              <w:spacing w:line="400" w:lineRule="exact"/>
              <w:jc w:val="center"/>
              <w:rPr>
                <w:rFonts w:hint="eastAsia" w:ascii="仿宋" w:hAnsi="仿宋" w:eastAsia="仿宋" w:cs="仿宋"/>
                <w:sz w:val="28"/>
                <w:szCs w:val="28"/>
                <w:lang w:val="en-US" w:eastAsia="zh-CN"/>
              </w:rPr>
            </w:pPr>
          </w:p>
        </w:tc>
        <w:tc>
          <w:tcPr>
            <w:tcW w:w="1296" w:type="dxa"/>
            <w:vAlign w:val="center"/>
          </w:tcPr>
          <w:p w14:paraId="4A51F095">
            <w:pPr>
              <w:spacing w:line="4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中砂</w:t>
            </w:r>
          </w:p>
        </w:tc>
        <w:tc>
          <w:tcPr>
            <w:tcW w:w="999" w:type="dxa"/>
            <w:vAlign w:val="center"/>
          </w:tcPr>
          <w:p w14:paraId="4268D76F">
            <w:pPr>
              <w:spacing w:line="400" w:lineRule="exact"/>
              <w:jc w:val="center"/>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000</w:t>
            </w:r>
          </w:p>
        </w:tc>
        <w:tc>
          <w:tcPr>
            <w:tcW w:w="945" w:type="dxa"/>
            <w:vAlign w:val="center"/>
          </w:tcPr>
          <w:p w14:paraId="1EDF77AA">
            <w:pPr>
              <w:spacing w:line="400" w:lineRule="exact"/>
              <w:jc w:val="center"/>
              <w:rPr>
                <w:rFonts w:ascii="仿宋" w:hAnsi="仿宋" w:eastAsia="仿宋" w:cs="仿宋"/>
                <w:sz w:val="28"/>
                <w:szCs w:val="28"/>
              </w:rPr>
            </w:pPr>
            <w:r>
              <w:rPr>
                <w:rFonts w:hint="eastAsia" w:ascii="仿宋" w:hAnsi="仿宋" w:eastAsia="仿宋" w:cs="仿宋"/>
                <w:sz w:val="28"/>
                <w:szCs w:val="28"/>
              </w:rPr>
              <w:t>吨</w:t>
            </w:r>
          </w:p>
        </w:tc>
        <w:tc>
          <w:tcPr>
            <w:tcW w:w="1470" w:type="dxa"/>
            <w:vAlign w:val="center"/>
          </w:tcPr>
          <w:p w14:paraId="5304154C">
            <w:pPr>
              <w:spacing w:line="400" w:lineRule="exact"/>
              <w:jc w:val="center"/>
              <w:rPr>
                <w:rFonts w:hint="default" w:ascii="仿宋" w:hAnsi="仿宋" w:eastAsia="仿宋" w:cs="仿宋"/>
                <w:sz w:val="28"/>
                <w:szCs w:val="28"/>
                <w:lang w:val="en-US" w:eastAsia="zh-CN"/>
              </w:rPr>
            </w:pPr>
          </w:p>
        </w:tc>
        <w:tc>
          <w:tcPr>
            <w:tcW w:w="1425" w:type="dxa"/>
            <w:vAlign w:val="center"/>
          </w:tcPr>
          <w:p w14:paraId="42F7CA5B">
            <w:pPr>
              <w:spacing w:line="400" w:lineRule="exact"/>
              <w:jc w:val="center"/>
              <w:rPr>
                <w:rFonts w:hint="default" w:ascii="仿宋" w:hAnsi="仿宋" w:eastAsia="仿宋" w:cs="仿宋"/>
                <w:sz w:val="28"/>
                <w:szCs w:val="28"/>
                <w:lang w:val="en-US" w:eastAsia="zh-CN"/>
              </w:rPr>
            </w:pPr>
          </w:p>
        </w:tc>
        <w:tc>
          <w:tcPr>
            <w:tcW w:w="1095" w:type="dxa"/>
            <w:vAlign w:val="center"/>
          </w:tcPr>
          <w:p w14:paraId="2E0A097E">
            <w:pPr>
              <w:spacing w:line="400" w:lineRule="exact"/>
              <w:jc w:val="center"/>
              <w:rPr>
                <w:rFonts w:ascii="仿宋" w:hAnsi="仿宋" w:eastAsia="仿宋" w:cs="仿宋"/>
                <w:sz w:val="28"/>
                <w:szCs w:val="28"/>
              </w:rPr>
            </w:pPr>
          </w:p>
        </w:tc>
      </w:tr>
      <w:tr w14:paraId="6C54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9285" w:type="dxa"/>
            <w:gridSpan w:val="8"/>
            <w:vAlign w:val="center"/>
          </w:tcPr>
          <w:p w14:paraId="5A45A8A1">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合同总价：人民币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tc>
      </w:tr>
    </w:tbl>
    <w:p w14:paraId="3E6A045E">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说明：</w:t>
      </w:r>
    </w:p>
    <w:p w14:paraId="00DD3E4E">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1.1该单价为含税落地单价，为材料送到甲方料仓的到场最终结算价格，包括但不限于原材料费、加工费、运费、装卸费、资源税及税金。</w:t>
      </w:r>
    </w:p>
    <w:p w14:paraId="1DCB4FFA">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1.2该单价为固定价格，供货期间不因材料价格波动进行调整。因材料价格上涨等原因，乙方无法供应时，甲方有权解除合同并与其他供货商签订合同，并有权要求乙方给甲方造成损失进行赔偿。</w:t>
      </w:r>
    </w:p>
    <w:p w14:paraId="532DF4D7">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1.3乙方需要向甲方开具符合甲方要求的增值税发票。最终结算以扣减水分重量后的实收量为准。</w:t>
      </w:r>
    </w:p>
    <w:p w14:paraId="715693B2">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1.4供货期为甲方通知供货之日起</w:t>
      </w:r>
      <w:r>
        <w:rPr>
          <w:rFonts w:hint="eastAsia" w:ascii="仿宋" w:hAnsi="仿宋" w:eastAsia="仿宋" w:cs="仿宋"/>
          <w:sz w:val="28"/>
          <w:szCs w:val="28"/>
          <w:lang w:val="en-US" w:eastAsia="zh-CN"/>
        </w:rPr>
        <w:t>20</w:t>
      </w:r>
      <w:r>
        <w:rPr>
          <w:rFonts w:hint="eastAsia" w:ascii="仿宋" w:hAnsi="仿宋" w:eastAsia="仿宋" w:cs="仿宋"/>
          <w:sz w:val="28"/>
          <w:szCs w:val="28"/>
        </w:rPr>
        <w:t>日内，具体供货时间由甲方根据生产情况另行通知。收货时间为每日8:00-1</w:t>
      </w:r>
      <w:r>
        <w:rPr>
          <w:rFonts w:hint="eastAsia" w:ascii="仿宋" w:hAnsi="仿宋" w:eastAsia="仿宋" w:cs="仿宋"/>
          <w:sz w:val="28"/>
          <w:szCs w:val="28"/>
          <w:lang w:val="en-US" w:eastAsia="zh-CN"/>
        </w:rPr>
        <w:t>8</w:t>
      </w:r>
      <w:r>
        <w:rPr>
          <w:rFonts w:hint="eastAsia" w:ascii="仿宋" w:hAnsi="仿宋" w:eastAsia="仿宋" w:cs="仿宋"/>
          <w:sz w:val="28"/>
          <w:szCs w:val="28"/>
        </w:rPr>
        <w:t>:00.</w:t>
      </w:r>
    </w:p>
    <w:p w14:paraId="4DE5C619">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第二条 质量要求、技术标准</w:t>
      </w:r>
    </w:p>
    <w:p w14:paraId="34512A00">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乙方提供的原材料产地为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，必须满足甲乙双方协定的质量、技术要求标准。</w:t>
      </w:r>
    </w:p>
    <w:p w14:paraId="07AF49D6">
      <w:pPr>
        <w:tabs>
          <w:tab w:val="left" w:pos="1492"/>
          <w:tab w:val="left" w:pos="4492"/>
          <w:tab w:val="left" w:pos="5452"/>
        </w:tabs>
        <w:spacing w:line="500" w:lineRule="exact"/>
        <w:ind w:firstLine="560" w:firstLineChars="200"/>
        <w:jc w:val="left"/>
      </w:pPr>
      <w:r>
        <w:rPr>
          <w:rFonts w:hint="eastAsia" w:ascii="仿宋" w:hAnsi="仿宋" w:eastAsia="仿宋" w:cs="仿宋"/>
          <w:sz w:val="28"/>
          <w:szCs w:val="28"/>
        </w:rPr>
        <w:t>混合砂的要求：供应的混合砂为中砂，细度模数3.0-2.3，含泥量≤2.0％ ，泥块含量≤1.0％，压碎值小于30％，其他指标满足JGJ 52-2006 《普通混凝土用砂、石质量及检验方法标准》以及根据用砂种类相关的原材料要求的有关规定和标准。</w:t>
      </w:r>
    </w:p>
    <w:p w14:paraId="21ACF3D7">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第三条 乙方对质量负责的条件和期限</w:t>
      </w:r>
    </w:p>
    <w:p w14:paraId="68EAC6C2">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乙方必须满足甲方对材料质量保证期为：</w:t>
      </w:r>
      <w:r>
        <w:rPr>
          <w:rFonts w:hint="eastAsia" w:ascii="仿宋" w:hAnsi="仿宋" w:eastAsia="仿宋" w:cs="仿宋"/>
          <w:sz w:val="28"/>
          <w:szCs w:val="28"/>
          <w:u w:val="single"/>
        </w:rPr>
        <w:t xml:space="preserve">  6个月  </w:t>
      </w:r>
      <w:r>
        <w:rPr>
          <w:rFonts w:hint="eastAsia" w:ascii="仿宋" w:hAnsi="仿宋" w:eastAsia="仿宋" w:cs="仿宋"/>
          <w:sz w:val="28"/>
          <w:szCs w:val="28"/>
        </w:rPr>
        <w:t>。</w:t>
      </w:r>
    </w:p>
    <w:p w14:paraId="3BDC2F23">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若在使用过程中发现含泥量过高、掺杂少量石块等问题造成甲方设备损坏或商品混凝土质量问题，视为乙方违约。</w:t>
      </w:r>
    </w:p>
    <w:p w14:paraId="630BFCBD">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第四条 交货时间、地点、方式</w:t>
      </w:r>
    </w:p>
    <w:p w14:paraId="1F0A0A76">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4.1甲方安排专人向乙方提出供货需求，乙方接通知后立即确认并立即组织货源送至临朐县沂泰建材有限公司材料库内，乙方负责及时卸货。完成交付之前的货物损失、安全等一切风险由乙方负责。</w:t>
      </w:r>
    </w:p>
    <w:p w14:paraId="739F1030">
      <w:pPr>
        <w:tabs>
          <w:tab w:val="left" w:pos="1492"/>
          <w:tab w:val="left" w:pos="4492"/>
          <w:tab w:val="left" w:pos="5452"/>
        </w:tabs>
        <w:spacing w:line="500" w:lineRule="exact"/>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4.2</w:t>
      </w:r>
      <w:r>
        <w:rPr>
          <w:rFonts w:hint="eastAsia" w:ascii="仿宋" w:hAnsi="仿宋" w:eastAsia="仿宋" w:cs="仿宋"/>
          <w:sz w:val="28"/>
          <w:szCs w:val="28"/>
          <w:u w:val="none"/>
        </w:rPr>
        <w:t>乙方联系人：</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联系电话：</w:t>
      </w:r>
      <w:r>
        <w:rPr>
          <w:rFonts w:hint="eastAsia" w:ascii="仿宋" w:hAnsi="仿宋" w:eastAsia="仿宋" w:cs="仿宋"/>
          <w:sz w:val="28"/>
          <w:szCs w:val="28"/>
          <w:u w:val="none"/>
          <w:lang w:val="en-US" w:eastAsia="zh-CN"/>
        </w:rPr>
        <w:t xml:space="preserve">          </w:t>
      </w:r>
    </w:p>
    <w:p w14:paraId="7BA1B504">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第五条 运输方式及费用负担</w:t>
      </w:r>
    </w:p>
    <w:p w14:paraId="1D6B8F89">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5.1运输方式为汽车，乙方承担运输及运输过程发生的一切费用。</w:t>
      </w:r>
    </w:p>
    <w:p w14:paraId="6694955A">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5.2运输过程中乙方按照国家和地方标准进行覆盖，做到无撒漏，无污染环境。因运输过程中出现的材料损失、道路损坏等，由乙方承担全部责任，对甲方造成的损失进行赔偿。</w:t>
      </w:r>
    </w:p>
    <w:p w14:paraId="3F69E21B">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第六条 结算重量计量方法、付款方式</w:t>
      </w:r>
    </w:p>
    <w:p w14:paraId="302CEA5D">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6.1计量方法：甲方派专人每天对乙方所供应的砂子进行含水率抽查测量，并根据每天抽查测量的平均含水率对过磅数量进行相应重量扣减，扣减后的重量作为当天</w:t>
      </w:r>
      <w:r>
        <w:rPr>
          <w:rFonts w:hint="eastAsia" w:ascii="仿宋" w:hAnsi="仿宋" w:eastAsia="仿宋" w:cs="仿宋"/>
          <w:sz w:val="28"/>
          <w:szCs w:val="28"/>
          <w:lang w:val="en-US" w:eastAsia="zh-CN"/>
        </w:rPr>
        <w:t>砂子</w:t>
      </w:r>
      <w:r>
        <w:rPr>
          <w:rFonts w:hint="eastAsia" w:ascii="仿宋" w:hAnsi="仿宋" w:eastAsia="仿宋" w:cs="仿宋"/>
          <w:sz w:val="28"/>
          <w:szCs w:val="28"/>
        </w:rPr>
        <w:t>供货量的结算数量。</w:t>
      </w:r>
    </w:p>
    <w:p w14:paraId="43C37341">
      <w:pPr>
        <w:tabs>
          <w:tab w:val="left" w:pos="1492"/>
          <w:tab w:val="left" w:pos="4492"/>
          <w:tab w:val="left" w:pos="5452"/>
        </w:tabs>
        <w:spacing w:line="5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6.2付款方式：签订合同后，全部货物送达甲方指定地点，按照</w:t>
      </w:r>
      <w:r>
        <w:rPr>
          <w:rFonts w:hint="eastAsia" w:ascii="仿宋" w:hAnsi="仿宋" w:eastAsia="仿宋" w:cs="仿宋"/>
          <w:sz w:val="28"/>
          <w:szCs w:val="28"/>
          <w:lang w:val="en-US" w:eastAsia="zh-CN"/>
        </w:rPr>
        <w:t>实际</w:t>
      </w:r>
      <w:r>
        <w:rPr>
          <w:rFonts w:hint="eastAsia" w:ascii="仿宋" w:hAnsi="仿宋" w:eastAsia="仿宋" w:cs="仿宋"/>
          <w:sz w:val="28"/>
          <w:szCs w:val="28"/>
        </w:rPr>
        <w:t>结算数量进行结算</w:t>
      </w:r>
      <w:r>
        <w:rPr>
          <w:rFonts w:hint="eastAsia" w:ascii="仿宋" w:hAnsi="仿宋" w:eastAsia="仿宋" w:cs="仿宋"/>
          <w:sz w:val="28"/>
          <w:szCs w:val="28"/>
          <w:lang w:eastAsia="zh-CN"/>
        </w:rPr>
        <w:t>。</w:t>
      </w:r>
      <w:r>
        <w:rPr>
          <w:rFonts w:hint="eastAsia" w:ascii="仿宋" w:hAnsi="仿宋" w:eastAsia="仿宋" w:cs="仿宋"/>
          <w:sz w:val="28"/>
          <w:szCs w:val="28"/>
        </w:rPr>
        <w:t>经甲方验收合格确认数量后，</w:t>
      </w:r>
      <w:r>
        <w:rPr>
          <w:rFonts w:hint="eastAsia" w:ascii="仿宋" w:hAnsi="仿宋" w:eastAsia="仿宋" w:cs="仿宋"/>
          <w:sz w:val="28"/>
          <w:szCs w:val="28"/>
          <w:lang w:val="en-US" w:eastAsia="zh-CN"/>
        </w:rPr>
        <w:t>付至实际数量的90%，两月后付剩余10%（无息）。</w:t>
      </w:r>
    </w:p>
    <w:p w14:paraId="0BBE8755">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6.3乙方须向甲方提供符合要求的增值税发票，否则甲方有权拒绝支付合同价款。</w:t>
      </w:r>
    </w:p>
    <w:p w14:paraId="4690B963">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第七条 验收标准与方法</w:t>
      </w:r>
    </w:p>
    <w:p w14:paraId="632ACDD5">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7.1货到现场后，甲方按照第二条和第六条约定以及建筑施工、建筑材料标准或规定进行验收。</w:t>
      </w:r>
    </w:p>
    <w:p w14:paraId="28C67685">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7.2甲方针对乙方提供的货物进行观感质量预验收。实物质量存在明显缺陷，即可当场要求乙方立即退货，因此造成的损失费用及违约责任由乙方承担。 </w:t>
      </w:r>
    </w:p>
    <w:p w14:paraId="511B8B04">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7.3乙方材料即使甲方验收人员已经签收，如果在施工过程或由于用乙方材料原因引起工程质量问题时，经过质量管理部门或建筑工程检测机构测验确认，其用材料的确存在质量问题时，由此造成的质量事故及其他损失责任，由乙方承担，同时追究违约责任。 </w:t>
      </w:r>
    </w:p>
    <w:p w14:paraId="2B0DECB7">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7.4乙方的材料运输至甲方指定地点后，必须经甲方实验室检验合格认可后，方能进入甲方堆放料场，对不合格的材料，甲方有权拒收，由此造成的损失由乙方承担。</w:t>
      </w:r>
    </w:p>
    <w:p w14:paraId="29D6E23D">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第八条  安全及供应进度</w:t>
      </w:r>
    </w:p>
    <w:p w14:paraId="1F83E8F2">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8.1乙方应为送货人员配备必要的劳动防护用品和安全防护用品，并符合国家相关标准。</w:t>
      </w:r>
    </w:p>
    <w:p w14:paraId="52BFB17D">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8.2乙方根据甲方的材料总用量情况组织备料，要确保甲方的生产使用。乙方供给不足时要提前通知甲方，不能因此影响甲方正常生产，否则甲方有权解除合同并选用其他供货商。</w:t>
      </w:r>
    </w:p>
    <w:p w14:paraId="18326FE8">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第九条 双方责任</w:t>
      </w:r>
    </w:p>
    <w:p w14:paraId="63323A30">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（一）甲方责任</w:t>
      </w:r>
    </w:p>
    <w:p w14:paraId="532B55CA">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1、甲方提前1天通知乙方具体发货时间、数量等信息，以便乙方提前做好供货准备。</w:t>
      </w:r>
    </w:p>
    <w:p w14:paraId="0FC7940C">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2、甲方负责材料存放场地，派专人指挥乙方驾驶员将材料卸到指定地点。</w:t>
      </w:r>
    </w:p>
    <w:p w14:paraId="390456F3">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3、甲方有权在乙方供应材料不及时或出现质量问题时，解除合同并选择其他供货商。</w:t>
      </w:r>
    </w:p>
    <w:p w14:paraId="415ADCF8">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（二）乙方责任</w:t>
      </w:r>
    </w:p>
    <w:p w14:paraId="60C538A5">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1、乙方负责供应满足甲方实验室检验要求的合格材料，并按照合同约定时间将货物送至甲方指定地点。</w:t>
      </w:r>
    </w:p>
    <w:p w14:paraId="42FD9BFD">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2、乙方所供应材料若不满足合同要求且已经卸料的</w:t>
      </w:r>
      <w:r>
        <w:rPr>
          <w:rFonts w:hint="eastAsia" w:ascii="仿宋" w:hAnsi="仿宋" w:eastAsia="仿宋" w:cs="仿宋"/>
          <w:sz w:val="28"/>
          <w:szCs w:val="28"/>
          <w:lang w:val="en-US" w:eastAsia="zh-CN"/>
        </w:rPr>
        <w:t>，</w:t>
      </w:r>
      <w:r>
        <w:rPr>
          <w:rFonts w:hint="eastAsia" w:ascii="仿宋" w:hAnsi="仿宋" w:eastAsia="仿宋" w:cs="仿宋"/>
          <w:sz w:val="28"/>
          <w:szCs w:val="28"/>
        </w:rPr>
        <w:t>乙方负责及时清理出场，发生费用由乙方负责。</w:t>
      </w:r>
      <w:r>
        <w:rPr>
          <w:rFonts w:hint="eastAsia" w:ascii="仿宋" w:hAnsi="仿宋" w:eastAsia="仿宋" w:cs="仿宋"/>
          <w:sz w:val="28"/>
          <w:szCs w:val="28"/>
          <w:lang w:val="en-US" w:eastAsia="zh-CN"/>
        </w:rPr>
        <w:t>第</w:t>
      </w:r>
      <w:r>
        <w:rPr>
          <w:rFonts w:hint="eastAsia" w:ascii="仿宋" w:hAnsi="仿宋" w:eastAsia="仿宋" w:cs="仿宋"/>
          <w:sz w:val="28"/>
          <w:szCs w:val="28"/>
        </w:rPr>
        <w:t>一次乙方及时清运，甲方进行警告处理；二次</w:t>
      </w:r>
      <w:r>
        <w:rPr>
          <w:rFonts w:hint="eastAsia" w:ascii="仿宋" w:hAnsi="仿宋" w:eastAsia="仿宋" w:cs="仿宋"/>
          <w:sz w:val="28"/>
          <w:szCs w:val="28"/>
          <w:lang w:val="en-US" w:eastAsia="zh-CN"/>
        </w:rPr>
        <w:t>违约</w:t>
      </w:r>
      <w:r>
        <w:rPr>
          <w:rFonts w:hint="eastAsia" w:ascii="仿宋" w:hAnsi="仿宋" w:eastAsia="仿宋" w:cs="仿宋"/>
          <w:sz w:val="28"/>
          <w:szCs w:val="28"/>
        </w:rPr>
        <w:t>乙方及时清运后，扣乙方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2000元；第三次</w:t>
      </w:r>
      <w:r>
        <w:rPr>
          <w:rFonts w:hint="eastAsia" w:ascii="仿宋" w:hAnsi="仿宋" w:eastAsia="仿宋" w:cs="仿宋"/>
          <w:sz w:val="28"/>
          <w:szCs w:val="28"/>
          <w:lang w:val="en-US" w:eastAsia="zh-CN"/>
        </w:rPr>
        <w:t>违约</w:t>
      </w:r>
      <w:r>
        <w:rPr>
          <w:rFonts w:hint="eastAsia" w:ascii="仿宋" w:hAnsi="仿宋" w:eastAsia="仿宋" w:cs="仿宋"/>
          <w:sz w:val="28"/>
          <w:szCs w:val="28"/>
        </w:rPr>
        <w:t>乙方及时清运后，扣乙方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5000元</w:t>
      </w:r>
      <w:r>
        <w:rPr>
          <w:rFonts w:hint="eastAsia" w:ascii="仿宋" w:hAnsi="仿宋" w:eastAsia="仿宋" w:cs="仿宋"/>
          <w:sz w:val="28"/>
          <w:szCs w:val="28"/>
          <w:lang w:val="en-US" w:eastAsia="zh-CN"/>
        </w:rPr>
        <w:t>并</w:t>
      </w:r>
      <w:r>
        <w:rPr>
          <w:rFonts w:hint="eastAsia" w:ascii="仿宋" w:hAnsi="仿宋" w:eastAsia="仿宋" w:cs="仿宋"/>
          <w:sz w:val="28"/>
          <w:szCs w:val="28"/>
        </w:rPr>
        <w:t>解除合同</w:t>
      </w:r>
      <w:r>
        <w:rPr>
          <w:rFonts w:hint="eastAsia" w:ascii="仿宋" w:hAnsi="仿宋" w:eastAsia="仿宋" w:cs="仿宋"/>
          <w:sz w:val="28"/>
          <w:szCs w:val="28"/>
          <w:lang w:val="en-US" w:eastAsia="zh-CN"/>
        </w:rPr>
        <w:t>且乙方进入甲方诚信黑名单。</w:t>
      </w:r>
    </w:p>
    <w:p w14:paraId="10C62302">
      <w:pPr>
        <w:tabs>
          <w:tab w:val="left" w:pos="1492"/>
          <w:tab w:val="left" w:pos="4492"/>
          <w:tab w:val="left" w:pos="5452"/>
        </w:tabs>
        <w:spacing w:line="500" w:lineRule="exact"/>
        <w:ind w:firstLine="560" w:firstLineChars="200"/>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3、在甲方使用过程中发现掺杂石块等杂质影响甲方生产或造成甲方设备损坏以及商品混凝土质量问题时，乙方配合甲方解决。出现第</w:t>
      </w:r>
      <w:r>
        <w:rPr>
          <w:rFonts w:hint="eastAsia" w:ascii="仿宋" w:hAnsi="仿宋" w:eastAsia="仿宋" w:cs="仿宋"/>
          <w:sz w:val="28"/>
          <w:szCs w:val="28"/>
        </w:rPr>
        <w:t>一次甲方进行警告处理；</w:t>
      </w:r>
      <w:r>
        <w:rPr>
          <w:rFonts w:hint="eastAsia" w:ascii="仿宋" w:hAnsi="仿宋" w:eastAsia="仿宋" w:cs="仿宋"/>
          <w:sz w:val="28"/>
          <w:szCs w:val="28"/>
          <w:lang w:val="en-US" w:eastAsia="zh-CN"/>
        </w:rPr>
        <w:t>出现第二次</w:t>
      </w:r>
      <w:r>
        <w:rPr>
          <w:rFonts w:hint="eastAsia" w:ascii="仿宋" w:hAnsi="仿宋" w:eastAsia="仿宋" w:cs="仿宋"/>
          <w:sz w:val="28"/>
          <w:szCs w:val="28"/>
        </w:rPr>
        <w:t>扣乙方</w:t>
      </w:r>
      <w:r>
        <w:rPr>
          <w:rFonts w:hint="eastAsia" w:ascii="仿宋" w:hAnsi="仿宋" w:eastAsia="仿宋" w:cs="仿宋"/>
          <w:sz w:val="28"/>
          <w:szCs w:val="28"/>
          <w:lang w:val="en-US" w:eastAsia="zh-CN"/>
        </w:rPr>
        <w:t>材料款2</w:t>
      </w:r>
      <w:r>
        <w:rPr>
          <w:rFonts w:hint="eastAsia" w:ascii="仿宋" w:hAnsi="仿宋" w:eastAsia="仿宋" w:cs="仿宋"/>
          <w:sz w:val="28"/>
          <w:szCs w:val="28"/>
        </w:rPr>
        <w:t>000元；第三次乙方及扣乙方</w:t>
      </w:r>
      <w:r>
        <w:rPr>
          <w:rFonts w:hint="eastAsia" w:ascii="仿宋" w:hAnsi="仿宋" w:eastAsia="仿宋" w:cs="仿宋"/>
          <w:sz w:val="28"/>
          <w:szCs w:val="28"/>
          <w:lang w:val="en-US" w:eastAsia="zh-CN"/>
        </w:rPr>
        <w:t>材料款</w:t>
      </w:r>
      <w:r>
        <w:rPr>
          <w:rFonts w:hint="eastAsia" w:ascii="仿宋" w:hAnsi="仿宋" w:eastAsia="仿宋" w:cs="仿宋"/>
          <w:sz w:val="28"/>
          <w:szCs w:val="28"/>
        </w:rPr>
        <w:t>5000元</w:t>
      </w:r>
      <w:r>
        <w:rPr>
          <w:rFonts w:hint="eastAsia" w:ascii="仿宋" w:hAnsi="仿宋" w:eastAsia="仿宋" w:cs="仿宋"/>
          <w:sz w:val="28"/>
          <w:szCs w:val="28"/>
          <w:lang w:val="en-US" w:eastAsia="zh-CN"/>
        </w:rPr>
        <w:t>且乙方进入甲方诚信黑名单。</w:t>
      </w:r>
    </w:p>
    <w:p w14:paraId="6EB4863F">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、未经甲方同意乙方不得中途更换产地，如中途发现乙方更换产地或品质，甲方将有权终止合同。</w:t>
      </w:r>
    </w:p>
    <w:p w14:paraId="6838E164">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、乙方应保证所供应砂子来源为正规合法渠道，否则因此产生的责任及纠纷由乙方承担。</w:t>
      </w:r>
    </w:p>
    <w:p w14:paraId="163A5A6E">
      <w:pPr>
        <w:tabs>
          <w:tab w:val="left" w:pos="1492"/>
          <w:tab w:val="left" w:pos="4492"/>
          <w:tab w:val="left" w:pos="5452"/>
        </w:tabs>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第十条  不可抗力   </w:t>
      </w:r>
    </w:p>
    <w:p w14:paraId="55775F2C">
      <w:pPr>
        <w:tabs>
          <w:tab w:val="left" w:pos="1492"/>
          <w:tab w:val="left" w:pos="4492"/>
          <w:tab w:val="left" w:pos="5452"/>
        </w:tabs>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7B3110BA">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第十一条 纠纷的解决</w:t>
      </w:r>
      <w:r>
        <w:rPr>
          <w:rFonts w:hint="eastAsia" w:ascii="仿宋" w:hAnsi="仿宋" w:eastAsia="仿宋" w:cs="仿宋"/>
          <w:sz w:val="28"/>
          <w:szCs w:val="28"/>
        </w:rPr>
        <w:t>  </w:t>
      </w:r>
    </w:p>
    <w:p w14:paraId="0B744C60">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本合同在履行过程中发生的争议，由双方当事人协商解决；若协商不成，依法向临朐县人民法院起诉。</w:t>
      </w:r>
    </w:p>
    <w:p w14:paraId="08101879">
      <w:pPr>
        <w:tabs>
          <w:tab w:val="left" w:pos="1492"/>
          <w:tab w:val="left" w:pos="4492"/>
          <w:tab w:val="left" w:pos="5452"/>
        </w:tabs>
        <w:spacing w:line="50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第十二条  其他事项</w:t>
      </w:r>
      <w:r>
        <w:rPr>
          <w:rFonts w:hint="eastAsia" w:ascii="仿宋" w:hAnsi="仿宋" w:eastAsia="仿宋" w:cs="仿宋"/>
          <w:sz w:val="28"/>
          <w:szCs w:val="28"/>
        </w:rPr>
        <w:t>  </w:t>
      </w:r>
    </w:p>
    <w:p w14:paraId="525E0D40">
      <w:pPr>
        <w:numPr>
          <w:ilvl w:val="0"/>
          <w:numId w:val="2"/>
        </w:num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本合同自甲乙双方代表签字盖章后生效</w:t>
      </w:r>
    </w:p>
    <w:p w14:paraId="0FAE1000">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2、本合同未尽事宜，双方以补充合同条款解决。  </w:t>
      </w:r>
    </w:p>
    <w:tbl>
      <w:tblPr>
        <w:tblStyle w:val="5"/>
        <w:tblpPr w:leftFromText="180" w:rightFromText="180" w:vertAnchor="text" w:horzAnchor="page" w:tblpX="1270" w:tblpY="1394"/>
        <w:tblOverlap w:val="never"/>
        <w:tblW w:w="9870" w:type="dxa"/>
        <w:tblInd w:w="0" w:type="dxa"/>
        <w:tblLayout w:type="fixed"/>
        <w:tblCellMar>
          <w:top w:w="0" w:type="dxa"/>
          <w:left w:w="108" w:type="dxa"/>
          <w:bottom w:w="0" w:type="dxa"/>
          <w:right w:w="108" w:type="dxa"/>
        </w:tblCellMar>
      </w:tblPr>
      <w:tblGrid>
        <w:gridCol w:w="4714"/>
        <w:gridCol w:w="5156"/>
      </w:tblGrid>
      <w:tr w14:paraId="3E18B161">
        <w:tblPrEx>
          <w:tblCellMar>
            <w:top w:w="0" w:type="dxa"/>
            <w:left w:w="108" w:type="dxa"/>
            <w:bottom w:w="0" w:type="dxa"/>
            <w:right w:w="108" w:type="dxa"/>
          </w:tblCellMar>
        </w:tblPrEx>
        <w:trPr>
          <w:trHeight w:val="90" w:hRule="atLeast"/>
        </w:trPr>
        <w:tc>
          <w:tcPr>
            <w:tcW w:w="4714" w:type="dxa"/>
            <w:tcBorders>
              <w:tl2br w:val="nil"/>
              <w:tr2bl w:val="nil"/>
            </w:tcBorders>
          </w:tcPr>
          <w:p w14:paraId="398DDC12">
            <w:pPr>
              <w:tabs>
                <w:tab w:val="left" w:pos="1492"/>
                <w:tab w:val="left" w:pos="4492"/>
                <w:tab w:val="left" w:pos="5452"/>
              </w:tabs>
              <w:spacing w:line="500" w:lineRule="exact"/>
              <w:jc w:val="center"/>
              <w:rPr>
                <w:rFonts w:ascii="仿宋" w:hAnsi="仿宋" w:eastAsia="仿宋" w:cs="仿宋"/>
                <w:sz w:val="28"/>
                <w:szCs w:val="28"/>
              </w:rPr>
            </w:pPr>
            <w:r>
              <w:rPr>
                <w:rFonts w:hint="eastAsia" w:ascii="仿宋" w:hAnsi="仿宋" w:eastAsia="仿宋" w:cs="仿宋"/>
                <w:sz w:val="28"/>
                <w:szCs w:val="28"/>
              </w:rPr>
              <w:t>甲 方</w:t>
            </w:r>
          </w:p>
          <w:p w14:paraId="1FDF4A90">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 xml:space="preserve">单位名称：临朐县沂泰建材有限公司 </w:t>
            </w:r>
          </w:p>
          <w:p w14:paraId="162F2727">
            <w:pPr>
              <w:pStyle w:val="2"/>
              <w:ind w:left="0"/>
              <w:rPr>
                <w:rFonts w:ascii="仿宋" w:hAnsi="仿宋" w:eastAsia="仿宋" w:cs="仿宋"/>
                <w:sz w:val="28"/>
                <w:szCs w:val="28"/>
              </w:rPr>
            </w:pPr>
          </w:p>
          <w:p w14:paraId="64F0BC56">
            <w:pPr>
              <w:pStyle w:val="2"/>
              <w:ind w:left="840" w:hanging="840" w:hangingChars="300"/>
            </w:pPr>
            <w:r>
              <w:rPr>
                <w:rFonts w:hint="eastAsia" w:ascii="仿宋" w:hAnsi="仿宋" w:eastAsia="仿宋" w:cs="仿宋"/>
                <w:sz w:val="28"/>
                <w:szCs w:val="28"/>
              </w:rPr>
              <w:t>地址</w:t>
            </w:r>
            <w:r>
              <w:rPr>
                <w:rFonts w:hint="eastAsia" w:ascii="仿宋" w:hAnsi="仿宋" w:eastAsia="仿宋" w:cs="仿宋"/>
                <w:kern w:val="2"/>
                <w:sz w:val="28"/>
                <w:szCs w:val="28"/>
                <w:lang w:val="en-US" w:eastAsia="zh-CN" w:bidi="ar-SA"/>
              </w:rPr>
              <w:t>：潍坊市临朐县冶源镇宫家坡村南200米路东</w:t>
            </w:r>
          </w:p>
          <w:p w14:paraId="5937A024">
            <w:pPr>
              <w:tabs>
                <w:tab w:val="left" w:pos="1492"/>
                <w:tab w:val="left" w:pos="4492"/>
                <w:tab w:val="left" w:pos="5452"/>
              </w:tabs>
              <w:spacing w:line="500" w:lineRule="exact"/>
              <w:jc w:val="left"/>
              <w:rPr>
                <w:rFonts w:ascii="仿宋" w:hAnsi="仿宋" w:eastAsia="仿宋" w:cs="仿宋"/>
                <w:sz w:val="28"/>
                <w:szCs w:val="28"/>
              </w:rPr>
            </w:pPr>
            <w:r>
              <w:rPr>
                <w:rFonts w:hint="eastAsia" w:ascii="仿宋" w:hAnsi="仿宋" w:eastAsia="仿宋" w:cs="仿宋"/>
                <w:sz w:val="28"/>
                <w:szCs w:val="28"/>
              </w:rPr>
              <w:t>法人或委托代理人：</w:t>
            </w:r>
          </w:p>
          <w:p w14:paraId="4B73E0CE">
            <w:pPr>
              <w:pStyle w:val="2"/>
              <w:ind w:left="0"/>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kern w:val="2"/>
                <w:sz w:val="28"/>
                <w:szCs w:val="28"/>
                <w:lang w:val="en-US" w:eastAsia="zh-CN" w:bidi="ar-SA"/>
              </w:rPr>
              <w:t>0536-3333709</w:t>
            </w:r>
          </w:p>
          <w:p w14:paraId="673A1F8B">
            <w:pPr>
              <w:tabs>
                <w:tab w:val="left" w:pos="1492"/>
                <w:tab w:val="left" w:pos="4492"/>
                <w:tab w:val="left" w:pos="5452"/>
              </w:tabs>
              <w:spacing w:line="500" w:lineRule="exact"/>
              <w:jc w:val="left"/>
              <w:rPr>
                <w:rFonts w:ascii="仿宋" w:hAnsi="仿宋" w:eastAsia="仿宋" w:cs="仿宋"/>
                <w:sz w:val="28"/>
                <w:szCs w:val="28"/>
              </w:rPr>
            </w:pPr>
          </w:p>
        </w:tc>
        <w:tc>
          <w:tcPr>
            <w:tcW w:w="5156" w:type="dxa"/>
            <w:tcBorders>
              <w:tl2br w:val="nil"/>
              <w:tr2bl w:val="nil"/>
            </w:tcBorders>
          </w:tcPr>
          <w:p w14:paraId="1395BBFA">
            <w:pPr>
              <w:tabs>
                <w:tab w:val="left" w:pos="1492"/>
                <w:tab w:val="left" w:pos="4492"/>
                <w:tab w:val="left" w:pos="5452"/>
              </w:tabs>
              <w:spacing w:line="500" w:lineRule="exact"/>
              <w:jc w:val="center"/>
            </w:pPr>
            <w:r>
              <w:rPr>
                <w:rFonts w:hint="eastAsia"/>
              </w:rPr>
              <w:t>乙</w:t>
            </w:r>
            <w:r>
              <w:rPr>
                <w:rFonts w:hint="eastAsia"/>
                <w:lang w:val="en-US" w:eastAsia="zh-CN"/>
              </w:rPr>
              <w:t xml:space="preserve"> </w:t>
            </w:r>
            <w:r>
              <w:rPr>
                <w:rFonts w:hint="eastAsia"/>
              </w:rPr>
              <w:t>方</w:t>
            </w:r>
          </w:p>
          <w:p w14:paraId="5EAB8B22">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单位名称：</w:t>
            </w:r>
          </w:p>
          <w:p w14:paraId="363D14A9">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地址：</w:t>
            </w:r>
          </w:p>
          <w:p w14:paraId="6B668A52">
            <w:pPr>
              <w:tabs>
                <w:tab w:val="left" w:pos="1492"/>
                <w:tab w:val="left" w:pos="4492"/>
                <w:tab w:val="left" w:pos="5452"/>
              </w:tabs>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法人或委托代理人：</w:t>
            </w:r>
          </w:p>
          <w:p w14:paraId="04CB0D19">
            <w:pPr>
              <w:tabs>
                <w:tab w:val="left" w:pos="1492"/>
                <w:tab w:val="left" w:pos="4492"/>
                <w:tab w:val="left" w:pos="5452"/>
              </w:tabs>
              <w:spacing w:line="500" w:lineRule="exact"/>
              <w:jc w:val="left"/>
              <w:rPr>
                <w:rFonts w:hint="default" w:eastAsia="仿宋"/>
                <w:lang w:val="en-US" w:eastAsia="zh-CN"/>
              </w:rPr>
            </w:pPr>
            <w:r>
              <w:rPr>
                <w:rFonts w:hint="eastAsia" w:ascii="仿宋" w:hAnsi="仿宋" w:eastAsia="仿宋" w:cs="仿宋"/>
                <w:sz w:val="28"/>
                <w:szCs w:val="28"/>
              </w:rPr>
              <w:t>联系方式：</w:t>
            </w:r>
          </w:p>
        </w:tc>
      </w:tr>
      <w:tr w14:paraId="3AB95399">
        <w:tblPrEx>
          <w:tblCellMar>
            <w:top w:w="0" w:type="dxa"/>
            <w:left w:w="108" w:type="dxa"/>
            <w:bottom w:w="0" w:type="dxa"/>
            <w:right w:w="108" w:type="dxa"/>
          </w:tblCellMar>
        </w:tblPrEx>
        <w:trPr>
          <w:trHeight w:val="320" w:hRule="atLeast"/>
        </w:trPr>
        <w:tc>
          <w:tcPr>
            <w:tcW w:w="9870" w:type="dxa"/>
            <w:gridSpan w:val="2"/>
            <w:tcBorders>
              <w:tl2br w:val="nil"/>
              <w:tr2bl w:val="nil"/>
            </w:tcBorders>
          </w:tcPr>
          <w:p w14:paraId="2AEFE422">
            <w:pPr>
              <w:tabs>
                <w:tab w:val="left" w:pos="1492"/>
                <w:tab w:val="left" w:pos="4492"/>
                <w:tab w:val="left" w:pos="5452"/>
              </w:tabs>
              <w:spacing w:line="500" w:lineRule="exact"/>
              <w:jc w:val="center"/>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签订时间：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6C93B03B">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3、本合同一式叁份，甲方执贰份，乙方执壹份。</w:t>
      </w:r>
    </w:p>
    <w:p w14:paraId="051F2C45">
      <w:pPr>
        <w:tabs>
          <w:tab w:val="left" w:pos="1492"/>
          <w:tab w:val="left" w:pos="4492"/>
          <w:tab w:val="left" w:pos="5452"/>
        </w:tabs>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w:t>
      </w:r>
    </w:p>
    <w:sectPr>
      <w:pgSz w:w="11906" w:h="16838"/>
      <w:pgMar w:top="1213"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F2A17"/>
    <w:multiLevelType w:val="singleLevel"/>
    <w:tmpl w:val="9F4F2A17"/>
    <w:lvl w:ilvl="0" w:tentative="0">
      <w:start w:val="1"/>
      <w:numFmt w:val="decimal"/>
      <w:suff w:val="nothing"/>
      <w:lvlText w:val="%1、"/>
      <w:lvlJc w:val="left"/>
    </w:lvl>
  </w:abstractNum>
  <w:abstractNum w:abstractNumId="1">
    <w:nsid w:val="5B67ADBD"/>
    <w:multiLevelType w:val="multilevel"/>
    <w:tmpl w:val="5B67ADBD"/>
    <w:lvl w:ilvl="0" w:tentative="0">
      <w:start w:val="1"/>
      <w:numFmt w:val="decimal"/>
      <w:pStyle w:val="9"/>
      <w:lvlText w:val="%1"/>
      <w:lvlJc w:val="left"/>
      <w:pPr>
        <w:tabs>
          <w:tab w:val="left" w:pos="425"/>
        </w:tabs>
        <w:ind w:left="425" w:hanging="425"/>
      </w:pPr>
      <w:rPr>
        <w:rFonts w:hint="default"/>
      </w:rPr>
    </w:lvl>
    <w:lvl w:ilvl="1" w:tentative="0">
      <w:start w:val="1"/>
      <w:numFmt w:val="decimal"/>
      <w:lvlRestart w:val="0"/>
      <w:isLgl/>
      <w:lvlText w:val="%1.%2"/>
      <w:lvlJc w:val="left"/>
      <w:pPr>
        <w:tabs>
          <w:tab w:val="left" w:pos="992"/>
        </w:tabs>
        <w:ind w:left="992" w:hanging="567"/>
      </w:pPr>
      <w:rPr>
        <w:rFonts w:hint="eastAsia"/>
      </w:rPr>
    </w:lvl>
    <w:lvl w:ilvl="2" w:tentative="0">
      <w:start w:val="1"/>
      <w:numFmt w:val="decimal"/>
      <w:lvlRestart w:val="1"/>
      <w:isLg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jIxZDhmMjdkYzlmZTFlNjA1MzQyZjE3YmQwMmUifQ=="/>
  </w:docVars>
  <w:rsids>
    <w:rsidRoot w:val="02886196"/>
    <w:rsid w:val="007E7A6D"/>
    <w:rsid w:val="009E7D08"/>
    <w:rsid w:val="00CA51D7"/>
    <w:rsid w:val="00D34318"/>
    <w:rsid w:val="00D5770E"/>
    <w:rsid w:val="00EE5609"/>
    <w:rsid w:val="02886196"/>
    <w:rsid w:val="0692223A"/>
    <w:rsid w:val="07E14677"/>
    <w:rsid w:val="09BC4175"/>
    <w:rsid w:val="0E952C85"/>
    <w:rsid w:val="1086219F"/>
    <w:rsid w:val="109009AF"/>
    <w:rsid w:val="15DE648E"/>
    <w:rsid w:val="19D211B5"/>
    <w:rsid w:val="1B6F7768"/>
    <w:rsid w:val="1C842DE7"/>
    <w:rsid w:val="1C8F62C7"/>
    <w:rsid w:val="1CFA42E3"/>
    <w:rsid w:val="23461569"/>
    <w:rsid w:val="24073956"/>
    <w:rsid w:val="24782857"/>
    <w:rsid w:val="269337CD"/>
    <w:rsid w:val="27E306C4"/>
    <w:rsid w:val="29440A6D"/>
    <w:rsid w:val="375A4E1C"/>
    <w:rsid w:val="39780F8C"/>
    <w:rsid w:val="39867E91"/>
    <w:rsid w:val="3CC773AA"/>
    <w:rsid w:val="3D832FC6"/>
    <w:rsid w:val="40E84EDD"/>
    <w:rsid w:val="438F22F2"/>
    <w:rsid w:val="43A22D45"/>
    <w:rsid w:val="462B59FF"/>
    <w:rsid w:val="4926042C"/>
    <w:rsid w:val="4AD41AB3"/>
    <w:rsid w:val="4DED6756"/>
    <w:rsid w:val="4E80449B"/>
    <w:rsid w:val="4F8938B3"/>
    <w:rsid w:val="520E2B42"/>
    <w:rsid w:val="5485540F"/>
    <w:rsid w:val="56D75BA6"/>
    <w:rsid w:val="581F37ED"/>
    <w:rsid w:val="5BA85FF8"/>
    <w:rsid w:val="5FBD7401"/>
    <w:rsid w:val="688658D1"/>
    <w:rsid w:val="68E15F26"/>
    <w:rsid w:val="69DB4A67"/>
    <w:rsid w:val="6D8F342C"/>
    <w:rsid w:val="6FB70357"/>
    <w:rsid w:val="703E6CDD"/>
    <w:rsid w:val="759C1482"/>
    <w:rsid w:val="77114D63"/>
    <w:rsid w:val="7C25762E"/>
    <w:rsid w:val="7D6A0400"/>
    <w:rsid w:val="7D880CE5"/>
    <w:rsid w:val="7DAE7723"/>
    <w:rsid w:val="7E05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Cs w:val="21"/>
    </w:rPr>
  </w:style>
  <w:style w:type="paragraph" w:styleId="3">
    <w:name w:val="Body Text"/>
    <w:basedOn w:val="1"/>
    <w:next w:val="4"/>
    <w:qFormat/>
    <w:uiPriority w:val="1"/>
    <w:pPr>
      <w:spacing w:line="580" w:lineRule="exact"/>
      <w:jc w:val="left"/>
    </w:pPr>
    <w:rPr>
      <w:rFonts w:ascii="宋体" w:hAnsi="宋体"/>
      <w:b/>
      <w:sz w:val="28"/>
      <w:szCs w:val="28"/>
    </w:rPr>
  </w:style>
  <w:style w:type="paragraph" w:customStyle="1" w:styleId="4">
    <w:name w:val="标书正文1"/>
    <w:basedOn w:val="1"/>
    <w:qFormat/>
    <w:uiPriority w:val="0"/>
    <w:pPr>
      <w:spacing w:line="540" w:lineRule="exact"/>
      <w:ind w:left="-180" w:leftChars="-427" w:hanging="717" w:hangingChars="256"/>
    </w:pPr>
    <w:rPr>
      <w:rFonts w:ascii="宋体" w:hAnsi="宋体"/>
      <w:bCs/>
      <w:color w:val="000000"/>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paragraph" w:customStyle="1" w:styleId="9">
    <w:name w:val="正文格式"/>
    <w:basedOn w:val="3"/>
    <w:qFormat/>
    <w:uiPriority w:val="0"/>
    <w:pPr>
      <w:numPr>
        <w:ilvl w:val="0"/>
        <w:numId w:val="1"/>
      </w:numPr>
      <w:tabs>
        <w:tab w:val="left" w:pos="810"/>
      </w:tabs>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2379</Words>
  <Characters>2493</Characters>
  <Lines>17</Lines>
  <Paragraphs>4</Paragraphs>
  <TotalTime>1</TotalTime>
  <ScaleCrop>false</ScaleCrop>
  <LinksUpToDate>false</LinksUpToDate>
  <CharactersWithSpaces>2615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2021-11-14T06:57:00Z</dcterms:created>
  <dc:creator>城投评审部</dc:creator>
  <cp:lastModifiedBy>半粒小葡萄</cp:lastModifiedBy>
  <cp:lastPrinted>2024-05-22T02:45:00Z</cp:lastPrinted>
  <dcterms:modified xsi:type="dcterms:W3CDTF">2024-10-18T00:52:59Z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2D12D5BA22764AAD9E07D0DFDA906E29_13</vt:lpwstr>
  </property>
</Properties>
</file>